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61D080">
      <w:pPr>
        <w:spacing w:line="360" w:lineRule="auto"/>
        <w:jc w:val="center"/>
        <w:rPr>
          <w:rFonts w:hint="default" w:ascii="宋体" w:hAnsi="宋体" w:cs="宋体"/>
          <w:b/>
          <w:bCs w:val="0"/>
          <w:sz w:val="36"/>
          <w:szCs w:val="36"/>
          <w:u w:val="none"/>
          <w:lang w:val="en-US" w:eastAsia="zh-CN"/>
        </w:rPr>
      </w:pPr>
      <w:r>
        <w:rPr>
          <w:rFonts w:hint="eastAsia" w:ascii="宋体" w:hAnsi="宋体" w:cs="宋体"/>
          <w:b/>
          <w:bCs w:val="0"/>
          <w:sz w:val="36"/>
          <w:szCs w:val="36"/>
          <w:u w:val="none"/>
          <w:lang w:val="en-US" w:eastAsia="zh-CN"/>
        </w:rPr>
        <w:t>江苏省盐城技师学院银校合作遴选项目</w:t>
      </w:r>
    </w:p>
    <w:p w14:paraId="4187DC4C">
      <w:pPr>
        <w:spacing w:line="360" w:lineRule="auto"/>
        <w:jc w:val="center"/>
        <w:rPr>
          <w:rFonts w:hint="default"/>
          <w:b/>
          <w:bCs/>
          <w:sz w:val="36"/>
          <w:szCs w:val="36"/>
          <w:lang w:val="en-US"/>
        </w:rPr>
      </w:pPr>
      <w:r>
        <w:rPr>
          <w:rFonts w:hint="eastAsia" w:ascii="宋体" w:hAnsi="宋体" w:cs="宋体"/>
          <w:b/>
          <w:bCs w:val="0"/>
          <w:sz w:val="36"/>
          <w:szCs w:val="36"/>
          <w:u w:val="none"/>
          <w:lang w:val="en-US" w:eastAsia="zh-CN"/>
        </w:rPr>
        <w:t>磋商公告</w:t>
      </w:r>
    </w:p>
    <w:p w14:paraId="1A62FE3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江苏省盐城技师学院就江苏省盐城技师学院银校合作银行遴选项目实施竞争性磋商，欢迎符合条件的单位参加投标。</w:t>
      </w:r>
    </w:p>
    <w:p w14:paraId="7566AFD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一、项目名称及编号：</w:t>
      </w:r>
    </w:p>
    <w:p w14:paraId="4C076FF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项目名称：江苏省盐城技师学院银校合作银行遴选项目</w:t>
      </w:r>
    </w:p>
    <w:p w14:paraId="73332FB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项目编号：2025-35# </w:t>
      </w:r>
    </w:p>
    <w:p w14:paraId="446FC99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项目合作期限：5年</w:t>
      </w:r>
    </w:p>
    <w:p w14:paraId="45AA5FF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二、投标人资格要求：</w:t>
      </w:r>
    </w:p>
    <w:p w14:paraId="4620AB3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bookmarkStart w:id="0" w:name="OLE_LINK16"/>
      <w:bookmarkEnd w:id="0"/>
      <w:bookmarkStart w:id="1" w:name="OLE_LINK30"/>
      <w:bookmarkEnd w:id="1"/>
      <w:bookmarkStart w:id="2" w:name="OLE_LINK15"/>
      <w:r>
        <w:rPr>
          <w:rFonts w:hint="eastAsia" w:ascii="仿宋_GB2312" w:hAnsi="仿宋_GB2312" w:eastAsia="仿宋_GB2312" w:cs="仿宋_GB2312"/>
          <w:color w:val="000000"/>
          <w:kern w:val="2"/>
          <w:sz w:val="28"/>
          <w:szCs w:val="28"/>
          <w:lang w:val="en-US" w:eastAsia="zh-CN" w:bidi="ar-SA"/>
        </w:rPr>
        <w:t>1.</w:t>
      </w:r>
      <w:bookmarkEnd w:id="2"/>
      <w:r>
        <w:rPr>
          <w:rFonts w:hint="eastAsia" w:ascii="仿宋_GB2312" w:hAnsi="仿宋_GB2312" w:eastAsia="仿宋_GB2312" w:cs="仿宋_GB2312"/>
          <w:color w:val="000000"/>
          <w:kern w:val="2"/>
          <w:sz w:val="28"/>
          <w:szCs w:val="28"/>
          <w:lang w:val="en-US" w:eastAsia="zh-CN" w:bidi="ar-SA"/>
        </w:rPr>
        <w:t>参加本次采购活动应当符合《中华人民共和国政府采购法》第二十二条的规定，并具备下列条件：</w:t>
      </w:r>
    </w:p>
    <w:p w14:paraId="6104DB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（1）具有独立承担民事责任的能力 [法人或者其他组织营业执照等证明文件，被授权人证明文件（身份证、在本企业本年度养老保险缴纳证明、授权委托书）]；</w:t>
      </w:r>
    </w:p>
    <w:p w14:paraId="023DF2B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（2）具有良好的商业信誉和健全的财务会计制度（提供2024年度经审计的财务报表，或近三个月的财务报表）；</w:t>
      </w:r>
    </w:p>
    <w:p w14:paraId="0F9B235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（3）具有履行合同所必需的能力（根据项目需求提供履行合同所必需的设备和专业技术能力的声明）；</w:t>
      </w:r>
    </w:p>
    <w:p w14:paraId="48D26CE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（4）有依法缴纳税收和社会保障资金的良好记录（供应商需要提供近六个月内任意一个月的依法缴纳税收和社会保障资金的记录（如依法免税或依法不需要缴纳社会保障资金的，提供相应证明文件）；</w:t>
      </w:r>
    </w:p>
    <w:p w14:paraId="5EA524F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（5）参加本次政府采购活动前3年内，在经营活动中没有重大违法记录的书面声明。</w:t>
      </w:r>
    </w:p>
    <w:p w14:paraId="5D0D4D5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2.本项目的特定资格要求：</w:t>
      </w:r>
    </w:p>
    <w:p w14:paraId="2B56287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（1）供应商符合以下任意一个条件：</w:t>
      </w:r>
    </w:p>
    <w:p w14:paraId="1F3D333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①</w:t>
      </w:r>
      <w:r>
        <w:rPr>
          <w:rFonts w:hint="eastAsia" w:ascii="仿宋_GB2312" w:hAnsi="仿宋_GB2312" w:eastAsia="仿宋_GB2312" w:cs="仿宋_GB2312"/>
          <w:color w:val="000000"/>
          <w:kern w:val="2"/>
          <w:sz w:val="28"/>
          <w:szCs w:val="28"/>
          <w:lang w:val="en-US" w:eastAsia="zh-CN" w:bidi="ar-SA"/>
        </w:rPr>
        <w:t>国有商业银行；</w:t>
      </w:r>
    </w:p>
    <w:p w14:paraId="279B4AB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②</w:t>
      </w:r>
      <w:r>
        <w:rPr>
          <w:rFonts w:hint="eastAsia" w:ascii="仿宋_GB2312" w:hAnsi="仿宋_GB2312" w:eastAsia="仿宋_GB2312" w:cs="仿宋_GB2312"/>
          <w:color w:val="000000"/>
          <w:kern w:val="2"/>
          <w:sz w:val="28"/>
          <w:szCs w:val="28"/>
          <w:lang w:val="en-US" w:eastAsia="zh-CN" w:bidi="ar-SA"/>
        </w:rPr>
        <w:t>国务院或财政部间接控股的全国性股份制银行；</w:t>
      </w:r>
    </w:p>
    <w:p w14:paraId="4E98D7C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③</w:t>
      </w:r>
      <w:r>
        <w:rPr>
          <w:rFonts w:hint="eastAsia" w:ascii="仿宋_GB2312" w:hAnsi="仿宋_GB2312" w:eastAsia="仿宋_GB2312" w:cs="仿宋_GB2312"/>
          <w:color w:val="000000"/>
          <w:kern w:val="2"/>
          <w:sz w:val="28"/>
          <w:szCs w:val="28"/>
          <w:lang w:val="en-US" w:eastAsia="zh-CN" w:bidi="ar-SA"/>
        </w:rPr>
        <w:t>本地省级政府控股的城市商业银行。</w:t>
      </w:r>
    </w:p>
    <w:p w14:paraId="4ABCE32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（2）持有有效的《中华人民共和国金融许可证》，须在盐城设立分支机构，并提供总行或省级银行的唯一授权文件。</w:t>
      </w:r>
    </w:p>
    <w:p w14:paraId="554173D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3.本项目不接受联合体投标。</w:t>
      </w:r>
    </w:p>
    <w:p w14:paraId="05E3363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4.拒绝下述投标人参加本次采购活动：</w:t>
      </w:r>
    </w:p>
    <w:p w14:paraId="7AFAA1A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（1）投标供应商单位负责人为同一人或者存在直接控股、管理关系的不同供应商，不得参加同一合同项下的采购活动。</w:t>
      </w:r>
    </w:p>
    <w:p w14:paraId="133F45E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（2）凡为采购项目提供整体设计、规范编制或者项目管理、监理、检测等服务的供应商，不得再参加本项目的采购活动。</w:t>
      </w:r>
    </w:p>
    <w:p w14:paraId="560F1B8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（3）拒绝列入失信被执行人、重大税收违法案件当事人名单、政府采购严重违法失信行为记录名单中的供应商参加本项目的采购活动。</w:t>
      </w:r>
    </w:p>
    <w:p w14:paraId="03F12991">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三、报名、磋商文件获取、磋商文件递交截止时间、开标时间及地点</w:t>
      </w:r>
    </w:p>
    <w:p w14:paraId="1D22FC15">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仿宋" w:hAnsi="仿宋" w:eastAsia="仿宋" w:cs="仿宋"/>
          <w:b/>
          <w:bCs/>
          <w:color w:val="000000"/>
          <w:sz w:val="28"/>
          <w:szCs w:val="28"/>
          <w:u w:val="single"/>
        </w:rPr>
      </w:pPr>
      <w:r>
        <w:rPr>
          <w:rFonts w:hint="eastAsia" w:ascii="仿宋" w:hAnsi="仿宋" w:eastAsia="仿宋" w:cs="仿宋"/>
          <w:color w:val="000000"/>
          <w:sz w:val="28"/>
          <w:szCs w:val="28"/>
        </w:rPr>
        <w:t>1.报名、</w:t>
      </w:r>
      <w:r>
        <w:rPr>
          <w:rFonts w:hint="eastAsia" w:ascii="仿宋" w:hAnsi="仿宋" w:eastAsia="仿宋" w:cs="仿宋"/>
          <w:color w:val="000000"/>
          <w:sz w:val="28"/>
          <w:szCs w:val="28"/>
          <w:lang w:val="en-US" w:eastAsia="zh-CN"/>
        </w:rPr>
        <w:t>磋商</w:t>
      </w:r>
      <w:r>
        <w:rPr>
          <w:rFonts w:hint="eastAsia" w:ascii="仿宋" w:hAnsi="仿宋" w:eastAsia="仿宋" w:cs="仿宋"/>
          <w:color w:val="000000"/>
          <w:sz w:val="28"/>
          <w:szCs w:val="28"/>
        </w:rPr>
        <w:t>文件</w:t>
      </w:r>
      <w:r>
        <w:rPr>
          <w:rFonts w:hint="eastAsia" w:ascii="仿宋" w:hAnsi="仿宋" w:eastAsia="仿宋" w:cs="仿宋"/>
          <w:color w:val="000000"/>
          <w:sz w:val="28"/>
          <w:szCs w:val="28"/>
          <w:lang w:val="en-US" w:eastAsia="zh-CN"/>
        </w:rPr>
        <w:t>获取</w:t>
      </w:r>
      <w:r>
        <w:rPr>
          <w:rFonts w:hint="eastAsia" w:ascii="仿宋" w:hAnsi="仿宋" w:eastAsia="仿宋" w:cs="仿宋"/>
          <w:color w:val="000000"/>
          <w:sz w:val="28"/>
          <w:szCs w:val="28"/>
        </w:rPr>
        <w:t>时间：</w:t>
      </w:r>
      <w:r>
        <w:rPr>
          <w:rFonts w:hint="eastAsia" w:ascii="仿宋" w:hAnsi="仿宋" w:eastAsia="仿宋" w:cs="仿宋"/>
          <w:b/>
          <w:bCs/>
          <w:color w:val="000000"/>
          <w:sz w:val="28"/>
          <w:szCs w:val="28"/>
          <w:u w:val="single"/>
        </w:rPr>
        <w:t>20</w:t>
      </w:r>
      <w:r>
        <w:rPr>
          <w:rFonts w:hint="eastAsia" w:ascii="仿宋" w:hAnsi="仿宋" w:eastAsia="仿宋" w:cs="仿宋"/>
          <w:b/>
          <w:bCs/>
          <w:color w:val="000000"/>
          <w:sz w:val="28"/>
          <w:szCs w:val="28"/>
          <w:u w:val="single"/>
          <w:lang w:val="en-US" w:eastAsia="zh-CN"/>
        </w:rPr>
        <w:t>25</w:t>
      </w:r>
      <w:r>
        <w:rPr>
          <w:rFonts w:hint="eastAsia" w:ascii="仿宋" w:hAnsi="仿宋" w:eastAsia="仿宋" w:cs="仿宋"/>
          <w:b/>
          <w:bCs/>
          <w:color w:val="000000"/>
          <w:sz w:val="28"/>
          <w:szCs w:val="28"/>
          <w:u w:val="single"/>
        </w:rPr>
        <w:t>年</w:t>
      </w:r>
      <w:r>
        <w:rPr>
          <w:rFonts w:hint="eastAsia" w:ascii="仿宋" w:hAnsi="仿宋" w:eastAsia="仿宋" w:cs="仿宋"/>
          <w:b/>
          <w:bCs/>
          <w:color w:val="000000"/>
          <w:sz w:val="28"/>
          <w:szCs w:val="28"/>
          <w:u w:val="single"/>
          <w:lang w:val="en-US" w:eastAsia="zh-CN"/>
        </w:rPr>
        <w:t>8</w:t>
      </w:r>
      <w:r>
        <w:rPr>
          <w:rFonts w:hint="eastAsia" w:ascii="仿宋" w:hAnsi="仿宋" w:eastAsia="仿宋" w:cs="仿宋"/>
          <w:b/>
          <w:bCs/>
          <w:color w:val="000000"/>
          <w:sz w:val="28"/>
          <w:szCs w:val="28"/>
          <w:u w:val="single"/>
        </w:rPr>
        <w:t>月</w:t>
      </w:r>
      <w:r>
        <w:rPr>
          <w:rFonts w:hint="eastAsia" w:ascii="仿宋" w:hAnsi="仿宋" w:eastAsia="仿宋" w:cs="仿宋"/>
          <w:b/>
          <w:bCs/>
          <w:color w:val="000000"/>
          <w:sz w:val="28"/>
          <w:szCs w:val="28"/>
          <w:u w:val="single"/>
          <w:lang w:val="en-US" w:eastAsia="zh-CN"/>
        </w:rPr>
        <w:t>21</w:t>
      </w:r>
      <w:r>
        <w:rPr>
          <w:rFonts w:hint="eastAsia" w:ascii="仿宋" w:hAnsi="仿宋" w:eastAsia="仿宋" w:cs="仿宋"/>
          <w:b/>
          <w:bCs/>
          <w:color w:val="000000"/>
          <w:sz w:val="28"/>
          <w:szCs w:val="28"/>
          <w:u w:val="single"/>
        </w:rPr>
        <w:t>日—</w:t>
      </w:r>
      <w:r>
        <w:rPr>
          <w:rFonts w:hint="eastAsia" w:ascii="仿宋" w:hAnsi="仿宋" w:eastAsia="仿宋" w:cs="仿宋"/>
          <w:b/>
          <w:bCs/>
          <w:color w:val="000000"/>
          <w:sz w:val="28"/>
          <w:szCs w:val="28"/>
          <w:u w:val="single"/>
          <w:lang w:val="en-US" w:eastAsia="zh-CN"/>
        </w:rPr>
        <w:t>8</w:t>
      </w:r>
      <w:r>
        <w:rPr>
          <w:rFonts w:hint="eastAsia" w:ascii="仿宋" w:hAnsi="仿宋" w:eastAsia="仿宋" w:cs="仿宋"/>
          <w:b/>
          <w:bCs/>
          <w:color w:val="000000"/>
          <w:sz w:val="28"/>
          <w:szCs w:val="28"/>
          <w:u w:val="single"/>
        </w:rPr>
        <w:t>月</w:t>
      </w:r>
      <w:r>
        <w:rPr>
          <w:rFonts w:hint="eastAsia" w:ascii="仿宋" w:hAnsi="仿宋" w:eastAsia="仿宋" w:cs="仿宋"/>
          <w:b/>
          <w:bCs/>
          <w:color w:val="000000"/>
          <w:sz w:val="28"/>
          <w:szCs w:val="28"/>
          <w:u w:val="single"/>
          <w:lang w:val="en-US" w:eastAsia="zh-CN"/>
        </w:rPr>
        <w:t>27</w:t>
      </w:r>
      <w:r>
        <w:rPr>
          <w:rFonts w:hint="eastAsia" w:ascii="仿宋" w:hAnsi="仿宋" w:eastAsia="仿宋" w:cs="仿宋"/>
          <w:b/>
          <w:bCs/>
          <w:color w:val="000000"/>
          <w:sz w:val="28"/>
          <w:szCs w:val="28"/>
          <w:u w:val="single"/>
        </w:rPr>
        <w:t>日（9:00-11:00；15:00—17:</w:t>
      </w:r>
      <w:r>
        <w:rPr>
          <w:rFonts w:hint="eastAsia" w:ascii="仿宋" w:hAnsi="仿宋" w:eastAsia="仿宋" w:cs="仿宋"/>
          <w:b/>
          <w:bCs/>
          <w:color w:val="000000"/>
          <w:sz w:val="28"/>
          <w:szCs w:val="28"/>
          <w:u w:val="single"/>
          <w:lang w:val="en-US" w:eastAsia="zh-CN"/>
        </w:rPr>
        <w:t>30</w:t>
      </w:r>
      <w:r>
        <w:rPr>
          <w:rFonts w:hint="eastAsia" w:ascii="仿宋" w:hAnsi="仿宋" w:eastAsia="仿宋" w:cs="仿宋"/>
          <w:b/>
          <w:bCs/>
          <w:color w:val="000000"/>
          <w:sz w:val="28"/>
          <w:szCs w:val="28"/>
          <w:u w:val="single"/>
        </w:rPr>
        <w:t>）；</w:t>
      </w:r>
    </w:p>
    <w:p w14:paraId="6FE92001">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地点：</w:t>
      </w:r>
      <w:r>
        <w:rPr>
          <w:rFonts w:hint="eastAsia" w:ascii="仿宋" w:hAnsi="仿宋" w:eastAsia="仿宋" w:cs="仿宋"/>
          <w:color w:val="000000"/>
          <w:sz w:val="28"/>
          <w:szCs w:val="28"/>
          <w:lang w:val="en-US" w:eastAsia="zh-CN"/>
        </w:rPr>
        <w:t>江苏省盐城技师学院海洋路校区内（</w:t>
      </w:r>
      <w:r>
        <w:rPr>
          <w:rFonts w:hint="eastAsia" w:ascii="仿宋" w:hAnsi="仿宋" w:eastAsia="仿宋" w:cs="仿宋"/>
          <w:color w:val="000000"/>
          <w:sz w:val="28"/>
          <w:szCs w:val="28"/>
        </w:rPr>
        <w:t>盐城市盐都区海洋路29号</w:t>
      </w:r>
      <w:r>
        <w:rPr>
          <w:rFonts w:hint="eastAsia" w:ascii="仿宋" w:hAnsi="仿宋" w:eastAsia="仿宋" w:cs="仿宋"/>
          <w:color w:val="000000"/>
          <w:sz w:val="28"/>
          <w:szCs w:val="28"/>
          <w:lang w:eastAsia="zh-CN"/>
        </w:rPr>
        <w:t>匠心</w:t>
      </w:r>
      <w:r>
        <w:rPr>
          <w:rFonts w:hint="eastAsia" w:ascii="仿宋" w:hAnsi="仿宋" w:eastAsia="仿宋" w:cs="仿宋"/>
          <w:color w:val="000000"/>
          <w:sz w:val="28"/>
          <w:szCs w:val="28"/>
        </w:rPr>
        <w:t>楼14楼141</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办公室</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w:t>
      </w:r>
    </w:p>
    <w:p w14:paraId="502BF3B5">
      <w:pPr>
        <w:keepNext w:val="0"/>
        <w:keepLines w:val="0"/>
        <w:pageBreakBefore w:val="0"/>
        <w:widowControl w:val="0"/>
        <w:shd w:val="clear" w:color="auto" w:fill="FFFFFF"/>
        <w:kinsoku/>
        <w:wordWrap/>
        <w:overflowPunct/>
        <w:topLinePunct w:val="0"/>
        <w:autoSpaceDE/>
        <w:autoSpaceDN/>
        <w:bidi w:val="0"/>
        <w:spacing w:line="500" w:lineRule="exac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color w:val="000000"/>
          <w:sz w:val="28"/>
          <w:szCs w:val="28"/>
        </w:rPr>
        <w:t>联系人：</w:t>
      </w:r>
      <w:r>
        <w:rPr>
          <w:rFonts w:hint="eastAsia" w:ascii="仿宋" w:hAnsi="仿宋" w:eastAsia="仿宋" w:cs="仿宋"/>
          <w:b w:val="0"/>
          <w:bCs w:val="0"/>
          <w:kern w:val="2"/>
          <w:sz w:val="28"/>
          <w:szCs w:val="28"/>
          <w:lang w:val="en-US" w:eastAsia="zh-CN" w:bidi="ar-SA"/>
        </w:rPr>
        <w:t>邵老师0515—68661002/13905109103</w:t>
      </w:r>
    </w:p>
    <w:p w14:paraId="4C307BF5">
      <w:pPr>
        <w:keepNext w:val="0"/>
        <w:keepLines w:val="0"/>
        <w:pageBreakBefore w:val="0"/>
        <w:widowControl w:val="0"/>
        <w:shd w:val="clear" w:color="auto" w:fill="FFFFFF"/>
        <w:kinsoku/>
        <w:wordWrap/>
        <w:overflowPunct/>
        <w:topLinePunct w:val="0"/>
        <w:autoSpaceDE/>
        <w:autoSpaceDN/>
        <w:bidi w:val="0"/>
        <w:spacing w:line="500" w:lineRule="exact"/>
        <w:ind w:firstLine="562" w:firstLineChars="200"/>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获取文件时须提供营业执照复印件，法人授权书（如是法人则不需要），法人身份证复印件、被授权人的身份证复印件并加盖公章，以及相关证书复印件（如有）。</w:t>
      </w:r>
    </w:p>
    <w:p w14:paraId="0E9DD26D">
      <w:pPr>
        <w:pStyle w:val="6"/>
        <w:keepNext w:val="0"/>
        <w:keepLines w:val="0"/>
        <w:pageBreakBefore w:val="0"/>
        <w:kinsoku/>
        <w:wordWrap/>
        <w:overflowPunct/>
        <w:topLinePunct w:val="0"/>
        <w:autoSpaceDE/>
        <w:autoSpaceDN/>
        <w:bidi w:val="0"/>
        <w:spacing w:beforeAutospacing="0" w:afterAutospacing="0" w:line="500" w:lineRule="exact"/>
        <w:ind w:firstLine="480"/>
        <w:jc w:val="both"/>
        <w:textAlignment w:val="auto"/>
        <w:rPr>
          <w:rFonts w:hint="eastAsia" w:ascii="仿宋" w:hAnsi="仿宋" w:eastAsia="仿宋" w:cs="仿宋"/>
          <w:color w:val="000000"/>
          <w:sz w:val="28"/>
          <w:szCs w:val="28"/>
        </w:rPr>
      </w:pPr>
      <w:r>
        <w:rPr>
          <w:rFonts w:hint="eastAsia" w:ascii="仿宋" w:hAnsi="仿宋" w:eastAsia="仿宋" w:cs="仿宋"/>
          <w:b/>
          <w:bCs/>
          <w:color w:val="000000"/>
          <w:kern w:val="2"/>
          <w:sz w:val="28"/>
          <w:szCs w:val="28"/>
          <w:lang w:val="en-US" w:eastAsia="zh-CN" w:bidi="ar-SA"/>
        </w:rPr>
        <w:t>投标人通过其他渠道获取的与本项目采购相关的资料，采购人一律不予承认且不承担由此引发的一切责任。</w:t>
      </w:r>
    </w:p>
    <w:p w14:paraId="1510FED3">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仿宋" w:hAnsi="仿宋" w:eastAsia="仿宋" w:cs="仿宋"/>
          <w:b/>
          <w:bCs/>
          <w:snapToGrid w:val="0"/>
          <w:color w:val="000000"/>
          <w:kern w:val="2"/>
          <w:sz w:val="28"/>
          <w:szCs w:val="28"/>
          <w:lang w:val="en-US" w:eastAsia="zh-CN" w:bidi="ar-SA"/>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val="en-US" w:eastAsia="zh-CN"/>
        </w:rPr>
        <w:t>谈判</w:t>
      </w:r>
      <w:r>
        <w:rPr>
          <w:rFonts w:hint="eastAsia" w:ascii="仿宋" w:hAnsi="仿宋" w:eastAsia="仿宋" w:cs="仿宋"/>
          <w:color w:val="000000"/>
          <w:sz w:val="28"/>
          <w:szCs w:val="28"/>
        </w:rPr>
        <w:t>文件递交截止时间：</w:t>
      </w:r>
      <w:r>
        <w:rPr>
          <w:rFonts w:hint="eastAsia" w:ascii="仿宋" w:hAnsi="仿宋" w:eastAsia="仿宋" w:cs="仿宋"/>
          <w:b/>
          <w:bCs/>
          <w:snapToGrid w:val="0"/>
          <w:color w:val="000000"/>
          <w:kern w:val="2"/>
          <w:sz w:val="28"/>
          <w:szCs w:val="28"/>
          <w:lang w:val="en-US" w:eastAsia="zh-CN" w:bidi="ar-SA"/>
        </w:rPr>
        <w:t>2025年8月31日09时00分00秒；</w:t>
      </w:r>
    </w:p>
    <w:p w14:paraId="5AF55326">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仿宋" w:hAnsi="仿宋" w:eastAsia="仿宋" w:cs="仿宋"/>
          <w:b/>
          <w:bCs/>
          <w:snapToGrid w:val="0"/>
          <w:color w:val="000000"/>
          <w:kern w:val="2"/>
          <w:sz w:val="28"/>
          <w:szCs w:val="28"/>
          <w:lang w:val="en-US" w:eastAsia="zh-CN" w:bidi="ar-SA"/>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val="en-US" w:eastAsia="zh-CN"/>
        </w:rPr>
        <w:t>开标</w:t>
      </w:r>
      <w:r>
        <w:rPr>
          <w:rFonts w:hint="eastAsia" w:ascii="仿宋" w:hAnsi="仿宋" w:eastAsia="仿宋" w:cs="仿宋"/>
          <w:color w:val="000000"/>
          <w:sz w:val="28"/>
          <w:szCs w:val="28"/>
        </w:rPr>
        <w:t>时间：</w:t>
      </w:r>
      <w:r>
        <w:rPr>
          <w:rFonts w:hint="eastAsia" w:ascii="仿宋" w:hAnsi="仿宋" w:eastAsia="仿宋" w:cs="仿宋"/>
          <w:b/>
          <w:bCs/>
          <w:snapToGrid w:val="0"/>
          <w:color w:val="000000"/>
          <w:kern w:val="2"/>
          <w:sz w:val="28"/>
          <w:szCs w:val="28"/>
          <w:lang w:val="en-US" w:eastAsia="zh-CN" w:bidi="ar-SA"/>
        </w:rPr>
        <w:t>2025年8月31</w:t>
      </w:r>
      <w:bookmarkStart w:id="3" w:name="_GoBack"/>
      <w:bookmarkEnd w:id="3"/>
      <w:r>
        <w:rPr>
          <w:rFonts w:hint="eastAsia" w:ascii="仿宋" w:hAnsi="仿宋" w:eastAsia="仿宋" w:cs="仿宋"/>
          <w:b/>
          <w:bCs/>
          <w:snapToGrid w:val="0"/>
          <w:color w:val="000000"/>
          <w:kern w:val="2"/>
          <w:sz w:val="28"/>
          <w:szCs w:val="28"/>
          <w:lang w:val="en-US" w:eastAsia="zh-CN" w:bidi="ar-SA"/>
        </w:rPr>
        <w:t>日09时30分00秒；</w:t>
      </w:r>
    </w:p>
    <w:p w14:paraId="5ABE5136">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b/>
          <w:bCs/>
          <w:color w:val="FF0000"/>
          <w:sz w:val="28"/>
          <w:szCs w:val="28"/>
          <w:highlight w:val="none"/>
        </w:rPr>
      </w:pPr>
      <w:r>
        <w:rPr>
          <w:rFonts w:hint="eastAsia" w:ascii="仿宋" w:hAnsi="仿宋" w:eastAsia="仿宋" w:cs="仿宋"/>
          <w:color w:val="000000"/>
          <w:sz w:val="28"/>
          <w:szCs w:val="28"/>
        </w:rPr>
        <w:t>4.投标文件递交及开标地点：</w:t>
      </w:r>
      <w:r>
        <w:rPr>
          <w:rFonts w:hint="eastAsia" w:ascii="仿宋" w:hAnsi="仿宋" w:eastAsia="仿宋" w:cs="仿宋"/>
          <w:b/>
          <w:bCs/>
          <w:snapToGrid w:val="0"/>
          <w:color w:val="000000"/>
          <w:kern w:val="2"/>
          <w:sz w:val="28"/>
          <w:szCs w:val="28"/>
          <w:lang w:val="en-US" w:eastAsia="zh-CN" w:bidi="ar-SA"/>
        </w:rPr>
        <w:t>江苏省盐城技师学院文港路校区东校园（盐城市文港中路128号研发楼15楼会议室）；</w:t>
      </w:r>
    </w:p>
    <w:p w14:paraId="2C556698">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招标（采购）资料费 200 元，投标人交纳的招标（采购）资料费，售后不退。</w:t>
      </w:r>
    </w:p>
    <w:p w14:paraId="1DAA629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kern w:val="2"/>
          <w:sz w:val="28"/>
          <w:szCs w:val="28"/>
          <w:lang w:val="en-US" w:eastAsia="zh-CN" w:bidi="ar-SA"/>
        </w:rPr>
        <w:t>为了提高招标采购效率，节约社会交易成本及时间，希望报名并购买了谈判文件，而又决定不参加本次谈判的投标人，请在谈判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44"/>
          <w:szCs w:val="44"/>
          <w:lang w:val="en-US" w:eastAsia="zh-CN"/>
        </w:rPr>
        <w:t xml:space="preserve">                 </w:t>
      </w:r>
      <w:r>
        <w:rPr>
          <w:rFonts w:hint="eastAsia" w:ascii="仿宋" w:hAnsi="仿宋" w:eastAsia="仿宋" w:cs="仿宋"/>
          <w:color w:val="000000"/>
          <w:sz w:val="28"/>
          <w:szCs w:val="28"/>
          <w:lang w:val="en-US" w:eastAsia="zh-CN"/>
        </w:rPr>
        <w:t xml:space="preserve">   </w:t>
      </w:r>
    </w:p>
    <w:p w14:paraId="171B192B">
      <w:pPr>
        <w:keepNext w:val="0"/>
        <w:keepLines w:val="0"/>
        <w:pageBreakBefore w:val="0"/>
        <w:kinsoku/>
        <w:wordWrap/>
        <w:overflowPunct/>
        <w:topLinePunct w:val="0"/>
        <w:bidi w:val="0"/>
        <w:spacing w:line="480" w:lineRule="exact"/>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lang w:eastAsia="zh-CN"/>
        </w:rPr>
        <w:t>其他补充事宜</w:t>
      </w:r>
    </w:p>
    <w:p w14:paraId="1018D2D7">
      <w:pPr>
        <w:pStyle w:val="3"/>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80" w:lineRule="exact"/>
        <w:ind w:left="562" w:leftChars="0" w:right="0" w:rightChars="0"/>
        <w:textAlignment w:val="auto"/>
        <w:rPr>
          <w:rFonts w:hint="eastAsia"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1份，副本份数：4份。</w:t>
      </w:r>
    </w:p>
    <w:p w14:paraId="0F0797FC">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六、其他</w:t>
      </w:r>
    </w:p>
    <w:p w14:paraId="115C9CD7">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为确保校园安全，投标人进入</w:t>
      </w:r>
      <w:r>
        <w:rPr>
          <w:rFonts w:hint="eastAsia" w:ascii="仿宋" w:hAnsi="仿宋" w:eastAsia="仿宋" w:cs="仿宋"/>
          <w:b/>
          <w:bCs/>
          <w:color w:val="000000"/>
          <w:sz w:val="28"/>
          <w:szCs w:val="28"/>
          <w:lang w:val="en-US" w:eastAsia="zh-CN"/>
        </w:rPr>
        <w:t>江苏省盐城技师学院文港路校区</w:t>
      </w:r>
      <w:r>
        <w:rPr>
          <w:rFonts w:hint="eastAsia" w:ascii="仿宋" w:hAnsi="仿宋" w:eastAsia="仿宋" w:cs="仿宋"/>
          <w:color w:val="000000"/>
          <w:sz w:val="28"/>
          <w:szCs w:val="28"/>
          <w:lang w:val="en-US" w:eastAsia="zh-CN"/>
        </w:rPr>
        <w:t>时应服从下列规定：</w:t>
      </w:r>
    </w:p>
    <w:p w14:paraId="3A411E9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w:t>
      </w:r>
      <w:r>
        <w:rPr>
          <w:rFonts w:hint="eastAsia" w:ascii="仿宋" w:hAnsi="仿宋" w:eastAsia="仿宋" w:cs="仿宋"/>
          <w:b/>
          <w:bCs/>
          <w:color w:val="000000"/>
          <w:sz w:val="28"/>
          <w:szCs w:val="28"/>
          <w:lang w:val="en-US" w:eastAsia="zh-CN"/>
        </w:rPr>
        <w:t>投标人从学校文港路校区东校园大门进出</w:t>
      </w:r>
      <w:r>
        <w:rPr>
          <w:rFonts w:hint="eastAsia" w:ascii="仿宋" w:hAnsi="仿宋" w:eastAsia="仿宋" w:cs="仿宋"/>
          <w:color w:val="000000"/>
          <w:sz w:val="28"/>
          <w:szCs w:val="28"/>
          <w:lang w:val="en-US" w:eastAsia="zh-CN"/>
        </w:rPr>
        <w:t>；投标人车辆一律不得进入校园。</w:t>
      </w:r>
    </w:p>
    <w:p w14:paraId="2FEE0CB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（2）授权代表限1人进入校园，进入校园前须在大门外相关工作人员处进行信息实名登记。请投标人注意投标截止时间。</w:t>
      </w:r>
    </w:p>
    <w:p w14:paraId="573CEF1B">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（3）投标人进入校园后应在指定地点参与投标活动，不到非相关场所活动；投标工作结束后应立即离开校园，不逗留。</w:t>
      </w:r>
    </w:p>
    <w:p w14:paraId="62E07D2A">
      <w:pPr>
        <w:keepNext w:val="0"/>
        <w:keepLines w:val="0"/>
        <w:pageBreakBefore w:val="0"/>
        <w:kinsoku/>
        <w:wordWrap/>
        <w:overflowPunct/>
        <w:topLinePunct w:val="0"/>
        <w:bidi w:val="0"/>
        <w:spacing w:line="480" w:lineRule="exact"/>
        <w:jc w:val="center"/>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lang w:eastAsia="zh-CN"/>
        </w:rPr>
        <w:t>20</w:t>
      </w:r>
      <w:r>
        <w:rPr>
          <w:rFonts w:hint="eastAsia" w:ascii="仿宋" w:hAnsi="仿宋" w:eastAsia="仿宋" w:cs="仿宋"/>
          <w:color w:val="000000"/>
          <w:sz w:val="28"/>
          <w:szCs w:val="28"/>
          <w:lang w:val="en-US" w:eastAsia="zh-CN"/>
        </w:rPr>
        <w:t>25</w:t>
      </w:r>
      <w:r>
        <w:rPr>
          <w:rFonts w:hint="eastAsia" w:ascii="仿宋" w:hAnsi="仿宋" w:eastAsia="仿宋" w:cs="仿宋"/>
          <w:color w:val="000000"/>
          <w:sz w:val="28"/>
          <w:szCs w:val="28"/>
          <w:lang w:eastAsia="zh-CN"/>
        </w:rPr>
        <w:t>年</w:t>
      </w: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lang w:eastAsia="zh-CN"/>
        </w:rPr>
        <w:t>月</w:t>
      </w:r>
      <w:r>
        <w:rPr>
          <w:rFonts w:hint="eastAsia" w:ascii="仿宋" w:hAnsi="仿宋" w:eastAsia="仿宋" w:cs="仿宋"/>
          <w:color w:val="000000"/>
          <w:sz w:val="28"/>
          <w:szCs w:val="28"/>
          <w:lang w:val="en-US" w:eastAsia="zh-CN"/>
        </w:rPr>
        <w:t>20</w:t>
      </w:r>
      <w:r>
        <w:rPr>
          <w:rFonts w:hint="eastAsia" w:ascii="仿宋" w:hAnsi="仿宋" w:eastAsia="仿宋" w:cs="仿宋"/>
          <w:color w:val="000000"/>
          <w:sz w:val="28"/>
          <w:szCs w:val="28"/>
          <w:lang w:eastAsia="zh-CN"/>
        </w:rPr>
        <w:t>日</w:t>
      </w:r>
    </w:p>
    <w:p w14:paraId="2B37CD23">
      <w:pPr>
        <w:keepNext w:val="0"/>
        <w:keepLines w:val="0"/>
        <w:pageBreakBefore w:val="0"/>
        <w:kinsoku/>
        <w:wordWrap/>
        <w:overflowPunct/>
        <w:topLinePunct w:val="0"/>
        <w:bidi w:val="0"/>
        <w:spacing w:line="480" w:lineRule="exact"/>
        <w:jc w:val="center"/>
        <w:textAlignment w:val="auto"/>
        <w:rPr>
          <w:rFonts w:hint="eastAsia" w:ascii="仿宋" w:hAnsi="仿宋" w:eastAsia="仿宋" w:cs="仿宋"/>
          <w:color w:val="000000"/>
          <w:sz w:val="28"/>
          <w:szCs w:val="28"/>
          <w:lang w:eastAsia="zh-CN"/>
        </w:rPr>
      </w:pPr>
    </w:p>
    <w:p w14:paraId="56B914B3"/>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A70E19"/>
    <w:rsid w:val="41602073"/>
    <w:rsid w:val="77A70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1"/>
    <w:next w:val="1"/>
    <w:qFormat/>
    <w:uiPriority w:val="99"/>
    <w:pPr>
      <w:spacing w:line="360" w:lineRule="auto"/>
      <w:ind w:firstLine="200"/>
    </w:pPr>
    <w:rPr>
      <w:rFonts w:ascii="仿宋_GB2312" w:eastAsia="仿宋_GB2312"/>
      <w:sz w:val="30"/>
      <w:szCs w:val="30"/>
    </w:rPr>
  </w:style>
  <w:style w:type="paragraph" w:styleId="3">
    <w:name w:val="Normal (Web)"/>
    <w:basedOn w:val="1"/>
    <w:qFormat/>
    <w:uiPriority w:val="0"/>
    <w:pPr>
      <w:spacing w:before="100" w:beforeAutospacing="1" w:after="100" w:afterAutospacing="1"/>
      <w:jc w:val="left"/>
    </w:pPr>
    <w:rPr>
      <w:rFonts w:ascii="Calibri" w:hAnsi="Calibri"/>
      <w:kern w:val="0"/>
      <w:sz w:val="24"/>
      <w:szCs w:val="24"/>
    </w:rPr>
  </w:style>
  <w:style w:type="paragraph" w:customStyle="1" w:styleId="6">
    <w:name w:val="普通(网站)11"/>
    <w:basedOn w:val="1"/>
    <w:qFormat/>
    <w:uiPriority w:val="99"/>
    <w:pPr>
      <w:spacing w:beforeAutospacing="1" w:afterAutospacing="1"/>
      <w:jc w:val="left"/>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1518</Words>
  <Characters>1619</Characters>
  <Lines>0</Lines>
  <Paragraphs>0</Paragraphs>
  <TotalTime>1</TotalTime>
  <ScaleCrop>false</ScaleCrop>
  <LinksUpToDate>false</LinksUpToDate>
  <CharactersWithSpaces>1686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2025-08-20T08:27:00Z</dcterms:created>
  <dc:creator>王寒冰</dc:creator>
  <cp:lastModifiedBy>王寒冰</cp:lastModifiedBy>
  <dcterms:modified xsi:type="dcterms:W3CDTF">2025-08-20T08:57:44Z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0841A39DC53D4E4CA7F2DDF55D6292C0_11</vt:lpwstr>
  </property>
  <property fmtid="{D5CDD505-2E9C-101B-9397-08002B2CF9AE}" pid="4" name="KSOTemplateDocerSaveRecord">
    <vt:lpwstr>eyJoZGlkIjoiNzNmZjU1YTc0YjdiOTljOGE2M2FlMDEzOGI1NDFkNjYiLCJ1c2VySWQiOiIzMjQyMDI1MjcifQ==</vt:lpwstr>
  </property>
</Properties>
</file>